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8B6" w:rsidRPr="008D7414" w:rsidRDefault="005958B6" w:rsidP="008D7414">
      <w:pPr>
        <w:pStyle w:val="Heading3"/>
        <w:spacing w:before="0"/>
        <w:rPr>
          <w:rStyle w:val="Heading3Char"/>
        </w:rPr>
      </w:pPr>
      <w:bookmarkStart w:id="0" w:name="_Toc415730982"/>
      <w:proofErr w:type="spellStart"/>
      <w:r w:rsidRPr="008D7414">
        <w:rPr>
          <w:rStyle w:val="Heading3Char"/>
          <w:b/>
        </w:rPr>
        <w:t>Tomentosus</w:t>
      </w:r>
      <w:proofErr w:type="spellEnd"/>
      <w:r w:rsidRPr="008D7414">
        <w:rPr>
          <w:rStyle w:val="Heading3Char"/>
          <w:b/>
        </w:rPr>
        <w:t xml:space="preserve"> Root Disease</w:t>
      </w:r>
      <w:r w:rsidRPr="008D7414">
        <w:rPr>
          <w:rStyle w:val="Heading3Char"/>
        </w:rPr>
        <w:t xml:space="preserve"> </w:t>
      </w:r>
      <w:r w:rsidRPr="008D7414">
        <w:rPr>
          <w:rStyle w:val="Heading3Char"/>
          <w:i/>
        </w:rPr>
        <w:t>(</w:t>
      </w:r>
      <w:proofErr w:type="spellStart"/>
      <w:r w:rsidRPr="008D7414">
        <w:rPr>
          <w:rStyle w:val="Heading3Char"/>
          <w:i/>
        </w:rPr>
        <w:t>Inonotus</w:t>
      </w:r>
      <w:proofErr w:type="spellEnd"/>
      <w:r w:rsidRPr="008D7414">
        <w:rPr>
          <w:rStyle w:val="Heading3Char"/>
          <w:i/>
        </w:rPr>
        <w:t xml:space="preserve"> </w:t>
      </w:r>
      <w:proofErr w:type="spellStart"/>
      <w:r w:rsidRPr="008D7414">
        <w:rPr>
          <w:rStyle w:val="Heading3Char"/>
          <w:i/>
        </w:rPr>
        <w:t>tomentosus</w:t>
      </w:r>
      <w:proofErr w:type="spellEnd"/>
      <w:r w:rsidRPr="008D7414">
        <w:rPr>
          <w:rStyle w:val="Heading3Char"/>
          <w:i/>
        </w:rPr>
        <w:t>)</w:t>
      </w:r>
      <w:bookmarkEnd w:id="0"/>
      <w:r w:rsidRPr="008D7414">
        <w:rPr>
          <w:rStyle w:val="Heading3Char"/>
        </w:rPr>
        <w:t xml:space="preserve"> </w:t>
      </w:r>
      <w:r w:rsidR="003C1AB2">
        <w:rPr>
          <w:rStyle w:val="Heading3Char"/>
        </w:rPr>
        <w:t>DRT</w:t>
      </w:r>
    </w:p>
    <w:p w:rsidR="005958B6" w:rsidRPr="009C1881" w:rsidRDefault="005958B6" w:rsidP="008D7414">
      <w:pPr>
        <w:pStyle w:val="Default"/>
        <w:spacing w:line="240" w:lineRule="auto"/>
        <w:rPr>
          <w:sz w:val="22"/>
          <w:szCs w:val="22"/>
        </w:rPr>
      </w:pPr>
      <w:r>
        <w:rPr>
          <w:bCs/>
          <w:i/>
          <w:iCs/>
          <w:sz w:val="22"/>
          <w:szCs w:val="22"/>
        </w:rPr>
        <w:t xml:space="preserve">High to </w:t>
      </w:r>
      <w:r w:rsidRPr="009C1881">
        <w:rPr>
          <w:bCs/>
          <w:i/>
          <w:iCs/>
          <w:sz w:val="22"/>
          <w:szCs w:val="22"/>
        </w:rPr>
        <w:t>Me</w:t>
      </w:r>
      <w:r>
        <w:rPr>
          <w:bCs/>
          <w:i/>
          <w:iCs/>
          <w:sz w:val="22"/>
          <w:szCs w:val="22"/>
        </w:rPr>
        <w:t>dium</w:t>
      </w:r>
      <w:r w:rsidRPr="009C1881">
        <w:rPr>
          <w:bCs/>
          <w:i/>
          <w:iCs/>
          <w:sz w:val="22"/>
          <w:szCs w:val="22"/>
        </w:rPr>
        <w:t xml:space="preserve"> priority </w:t>
      </w:r>
    </w:p>
    <w:p w:rsidR="008D7414" w:rsidRDefault="008D7414" w:rsidP="008D7414">
      <w:pPr>
        <w:pStyle w:val="Default"/>
        <w:spacing w:line="240" w:lineRule="auto"/>
        <w:contextualSpacing/>
        <w:jc w:val="both"/>
        <w:rPr>
          <w:rFonts w:ascii="Cambria" w:hAnsi="Cambria" w:cs="Cambria"/>
          <w:b/>
          <w:bCs/>
          <w:iCs/>
          <w:sz w:val="23"/>
          <w:szCs w:val="23"/>
        </w:rPr>
      </w:pPr>
      <w:r>
        <w:rPr>
          <w:rFonts w:ascii="Cambria" w:hAnsi="Cambria" w:cs="Cambria"/>
          <w:b/>
          <w:bCs/>
          <w:iCs/>
          <w:sz w:val="23"/>
          <w:szCs w:val="23"/>
        </w:rPr>
        <w:t>Description</w:t>
      </w:r>
    </w:p>
    <w:p w:rsidR="003C1AB2" w:rsidRPr="003C1AB2" w:rsidRDefault="00222B82" w:rsidP="008D7414">
      <w:pPr>
        <w:pStyle w:val="Default"/>
        <w:spacing w:line="240" w:lineRule="auto"/>
        <w:contextualSpacing/>
        <w:jc w:val="both"/>
        <w:rPr>
          <w:rFonts w:asciiTheme="minorHAnsi" w:hAnsiTheme="minorHAnsi"/>
        </w:rPr>
      </w:pPr>
      <w:r>
        <w:rPr>
          <w:noProof/>
          <w:lang w:val="en-CA" w:eastAsia="en-CA" w:bidi="ar-SA"/>
        </w:rPr>
        <w:drawing>
          <wp:anchor distT="0" distB="0" distL="114300" distR="114300" simplePos="0" relativeHeight="251658240" behindDoc="0" locked="0" layoutInCell="1" allowOverlap="1">
            <wp:simplePos x="0" y="0"/>
            <wp:positionH relativeFrom="column">
              <wp:posOffset>0</wp:posOffset>
            </wp:positionH>
            <wp:positionV relativeFrom="paragraph">
              <wp:posOffset>-4445</wp:posOffset>
            </wp:positionV>
            <wp:extent cx="1351280" cy="2124710"/>
            <wp:effectExtent l="0" t="0" r="1270" b="8890"/>
            <wp:wrapSquare wrapText="bothSides"/>
            <wp:docPr id="3" name="Picture 3" descr="https://www.for.gov.bc.ca/hfp/publications/00198/101%20to%20150/fig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101%20to%20150/fig139.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1280" cy="212471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AB2" w:rsidRPr="003C1AB2">
        <w:rPr>
          <w:rFonts w:asciiTheme="minorHAnsi" w:hAnsiTheme="minorHAnsi"/>
        </w:rPr>
        <w:t xml:space="preserve">Interior spruce is highly susceptible. Moderately susceptible species include: </w:t>
      </w:r>
      <w:proofErr w:type="spellStart"/>
      <w:r w:rsidR="003C1AB2" w:rsidRPr="003C1AB2">
        <w:rPr>
          <w:rFonts w:asciiTheme="minorHAnsi" w:hAnsiTheme="minorHAnsi"/>
        </w:rPr>
        <w:t>lodgepole</w:t>
      </w:r>
      <w:proofErr w:type="spellEnd"/>
      <w:r w:rsidR="003C1AB2" w:rsidRPr="003C1AB2">
        <w:rPr>
          <w:rFonts w:asciiTheme="minorHAnsi" w:hAnsiTheme="minorHAnsi"/>
        </w:rPr>
        <w:t xml:space="preserve"> pine, western hemlock, Sitka spruce, Douglas-fir, and sub-alpine fir. </w:t>
      </w:r>
      <w:r w:rsidR="003C1AB2">
        <w:rPr>
          <w:rFonts w:asciiTheme="minorHAnsi" w:hAnsiTheme="minorHAnsi"/>
        </w:rPr>
        <w:t xml:space="preserve"> </w:t>
      </w:r>
      <w:r w:rsidR="003C1AB2" w:rsidRPr="003C1AB2">
        <w:rPr>
          <w:rFonts w:asciiTheme="minorHAnsi" w:hAnsiTheme="minorHAnsi"/>
        </w:rPr>
        <w:t xml:space="preserve">Resistant or immune species include western </w:t>
      </w:r>
      <w:proofErr w:type="spellStart"/>
      <w:r w:rsidR="003C1AB2" w:rsidRPr="003C1AB2">
        <w:rPr>
          <w:rFonts w:asciiTheme="minorHAnsi" w:hAnsiTheme="minorHAnsi"/>
        </w:rPr>
        <w:t>redcedar</w:t>
      </w:r>
      <w:proofErr w:type="spellEnd"/>
      <w:r w:rsidR="003C1AB2" w:rsidRPr="003C1AB2">
        <w:rPr>
          <w:rFonts w:asciiTheme="minorHAnsi" w:hAnsiTheme="minorHAnsi"/>
        </w:rPr>
        <w:t xml:space="preserve"> and broadleaf species</w:t>
      </w:r>
      <w:r w:rsidR="003C1AB2" w:rsidRPr="003C1AB2">
        <w:rPr>
          <w:rFonts w:asciiTheme="minorHAnsi" w:hAnsiTheme="minorHAnsi"/>
        </w:rPr>
        <w:t xml:space="preserve">. </w:t>
      </w:r>
      <w:r w:rsidR="003C1AB2" w:rsidRPr="003C1AB2">
        <w:rPr>
          <w:rFonts w:asciiTheme="minorHAnsi" w:hAnsiTheme="minorHAnsi"/>
        </w:rPr>
        <w:t xml:space="preserve"> </w:t>
      </w:r>
      <w:proofErr w:type="spellStart"/>
      <w:r w:rsidR="003C1AB2" w:rsidRPr="003C1AB2">
        <w:rPr>
          <w:rFonts w:asciiTheme="minorHAnsi" w:hAnsiTheme="minorHAnsi"/>
        </w:rPr>
        <w:t>Tomentosus</w:t>
      </w:r>
      <w:proofErr w:type="spellEnd"/>
      <w:r w:rsidR="003C1AB2" w:rsidRPr="003C1AB2">
        <w:rPr>
          <w:rFonts w:asciiTheme="minorHAnsi" w:hAnsiTheme="minorHAnsi"/>
        </w:rPr>
        <w:t xml:space="preserve"> root rot often causes small gaps in stand canopies that can coalesce into larger openings, within which lay randomly-oriented, downed trees with decayed roots. </w:t>
      </w:r>
      <w:r w:rsidR="003C1AB2">
        <w:rPr>
          <w:rFonts w:asciiTheme="minorHAnsi" w:hAnsiTheme="minorHAnsi"/>
        </w:rPr>
        <w:t xml:space="preserve"> </w:t>
      </w:r>
      <w:r w:rsidR="003C1AB2" w:rsidRPr="003C1AB2">
        <w:rPr>
          <w:rFonts w:asciiTheme="minorHAnsi" w:hAnsiTheme="minorHAnsi"/>
        </w:rPr>
        <w:t xml:space="preserve">Symptoms include chlorotic thinning foliage, reduced shoot growth, and distress cones. </w:t>
      </w:r>
      <w:r w:rsidR="003C1AB2">
        <w:rPr>
          <w:rFonts w:asciiTheme="minorHAnsi" w:hAnsiTheme="minorHAnsi"/>
        </w:rPr>
        <w:t xml:space="preserve"> </w:t>
      </w:r>
      <w:proofErr w:type="spellStart"/>
      <w:r w:rsidR="003C1AB2" w:rsidRPr="003C1AB2">
        <w:rPr>
          <w:rFonts w:asciiTheme="minorHAnsi" w:hAnsiTheme="minorHAnsi"/>
        </w:rPr>
        <w:t>Tomentosus</w:t>
      </w:r>
      <w:proofErr w:type="spellEnd"/>
      <w:r w:rsidR="003C1AB2" w:rsidRPr="003C1AB2">
        <w:rPr>
          <w:rFonts w:asciiTheme="minorHAnsi" w:hAnsiTheme="minorHAnsi"/>
        </w:rPr>
        <w:t xml:space="preserve"> causes a pink to red-brown stain in wood, which progresses to a salmon </w:t>
      </w:r>
      <w:proofErr w:type="spellStart"/>
      <w:r w:rsidR="003C1AB2" w:rsidRPr="003C1AB2">
        <w:rPr>
          <w:rFonts w:asciiTheme="minorHAnsi" w:hAnsiTheme="minorHAnsi"/>
        </w:rPr>
        <w:t>colour</w:t>
      </w:r>
      <w:proofErr w:type="spellEnd"/>
      <w:r w:rsidR="003C1AB2" w:rsidRPr="003C1AB2">
        <w:rPr>
          <w:rFonts w:asciiTheme="minorHAnsi" w:hAnsiTheme="minorHAnsi"/>
        </w:rPr>
        <w:t xml:space="preserve">, eventually forming a honeycomb-like, white pocket rot. </w:t>
      </w:r>
      <w:r w:rsidR="003C1AB2">
        <w:rPr>
          <w:rFonts w:asciiTheme="minorHAnsi" w:hAnsiTheme="minorHAnsi"/>
        </w:rPr>
        <w:t xml:space="preserve"> </w:t>
      </w:r>
      <w:r w:rsidR="003C1AB2" w:rsidRPr="003C1AB2">
        <w:rPr>
          <w:rFonts w:asciiTheme="minorHAnsi" w:hAnsiTheme="minorHAnsi"/>
        </w:rPr>
        <w:t xml:space="preserve">This pattern progresses from the interior of the root outwards. </w:t>
      </w:r>
      <w:r w:rsidR="009B2966">
        <w:rPr>
          <w:rFonts w:asciiTheme="minorHAnsi" w:hAnsiTheme="minorHAnsi"/>
        </w:rPr>
        <w:t xml:space="preserve"> </w:t>
      </w:r>
      <w:r w:rsidR="003C1AB2" w:rsidRPr="003C1AB2">
        <w:rPr>
          <w:rFonts w:asciiTheme="minorHAnsi" w:hAnsiTheme="minorHAnsi"/>
        </w:rPr>
        <w:t>Decay can be found 1 to 2 m up the bole.</w:t>
      </w:r>
      <w:r w:rsidR="003C1AB2">
        <w:rPr>
          <w:rFonts w:asciiTheme="minorHAnsi" w:hAnsiTheme="minorHAnsi"/>
        </w:rPr>
        <w:t xml:space="preserve"> </w:t>
      </w:r>
      <w:r w:rsidR="003C1AB2" w:rsidRPr="003C1AB2">
        <w:rPr>
          <w:rFonts w:asciiTheme="minorHAnsi" w:hAnsiTheme="minorHAnsi"/>
        </w:rPr>
        <w:t xml:space="preserve"> Fruiting bodies are produced in the late summer directly from infected roots, and appear as small mushrooms (&lt;10 cm across), which are leathery, velvet topped, and tan to brown, with a porous underside</w:t>
      </w:r>
      <w:r w:rsidR="003C1AB2">
        <w:rPr>
          <w:rFonts w:asciiTheme="minorHAnsi" w:hAnsiTheme="minorHAnsi"/>
        </w:rPr>
        <w:t>.</w:t>
      </w:r>
    </w:p>
    <w:p w:rsidR="008D7414" w:rsidRPr="003C1AB2" w:rsidRDefault="008D7414" w:rsidP="008D7414">
      <w:pPr>
        <w:pStyle w:val="Default"/>
        <w:spacing w:line="240" w:lineRule="auto"/>
        <w:contextualSpacing/>
        <w:jc w:val="both"/>
        <w:rPr>
          <w:rFonts w:ascii="Cambria" w:hAnsi="Cambria" w:cs="Cambria"/>
          <w:bCs/>
          <w:iCs/>
          <w:sz w:val="23"/>
          <w:szCs w:val="23"/>
        </w:rPr>
      </w:pPr>
    </w:p>
    <w:p w:rsidR="008D7414" w:rsidRDefault="008D7414" w:rsidP="008D7414">
      <w:pPr>
        <w:pStyle w:val="Default"/>
        <w:spacing w:line="240" w:lineRule="auto"/>
        <w:contextualSpacing/>
        <w:jc w:val="both"/>
        <w:rPr>
          <w:rFonts w:ascii="Cambria" w:hAnsi="Cambria" w:cs="Cambria"/>
          <w:b/>
          <w:bCs/>
          <w:iCs/>
          <w:sz w:val="23"/>
          <w:szCs w:val="23"/>
        </w:rPr>
      </w:pPr>
      <w:r>
        <w:rPr>
          <w:rFonts w:ascii="Cambria" w:hAnsi="Cambria" w:cs="Cambria"/>
          <w:b/>
          <w:bCs/>
          <w:iCs/>
          <w:sz w:val="23"/>
          <w:szCs w:val="23"/>
        </w:rPr>
        <w:t>Extent</w:t>
      </w:r>
    </w:p>
    <w:p w:rsidR="008D7414" w:rsidRDefault="003C1AB2" w:rsidP="008D7414">
      <w:pPr>
        <w:pStyle w:val="Default"/>
        <w:spacing w:line="240" w:lineRule="auto"/>
        <w:jc w:val="both"/>
        <w:rPr>
          <w:rFonts w:asciiTheme="minorHAnsi" w:hAnsiTheme="minorHAnsi"/>
        </w:rPr>
      </w:pPr>
      <w:proofErr w:type="spellStart"/>
      <w:r w:rsidRPr="003C1AB2">
        <w:rPr>
          <w:rFonts w:asciiTheme="minorHAnsi" w:hAnsiTheme="minorHAnsi"/>
        </w:rPr>
        <w:t>Tomentosus</w:t>
      </w:r>
      <w:proofErr w:type="spellEnd"/>
      <w:r w:rsidRPr="003C1AB2">
        <w:rPr>
          <w:rFonts w:asciiTheme="minorHAnsi" w:hAnsiTheme="minorHAnsi"/>
        </w:rPr>
        <w:t xml:space="preserve"> is the most prominent root disease in central and northern BC.  Juvenile trees die quickly.</w:t>
      </w:r>
      <w:r>
        <w:rPr>
          <w:rFonts w:asciiTheme="minorHAnsi" w:hAnsiTheme="minorHAnsi"/>
        </w:rPr>
        <w:t xml:space="preserve"> </w:t>
      </w:r>
      <w:r w:rsidRPr="003C1AB2">
        <w:rPr>
          <w:rFonts w:asciiTheme="minorHAnsi" w:hAnsiTheme="minorHAnsi"/>
        </w:rPr>
        <w:t xml:space="preserve"> Older trees suff</w:t>
      </w:r>
      <w:bookmarkStart w:id="1" w:name="_GoBack"/>
      <w:bookmarkEnd w:id="1"/>
      <w:r w:rsidRPr="003C1AB2">
        <w:rPr>
          <w:rFonts w:asciiTheme="minorHAnsi" w:hAnsiTheme="minorHAnsi"/>
        </w:rPr>
        <w:t xml:space="preserve">er extensive butt rot leading to increased susceptibility to </w:t>
      </w:r>
      <w:proofErr w:type="spellStart"/>
      <w:r w:rsidRPr="003C1AB2">
        <w:rPr>
          <w:rFonts w:asciiTheme="minorHAnsi" w:hAnsiTheme="minorHAnsi"/>
        </w:rPr>
        <w:t>windthrow</w:t>
      </w:r>
      <w:proofErr w:type="spellEnd"/>
      <w:r w:rsidRPr="003C1AB2">
        <w:rPr>
          <w:rFonts w:asciiTheme="minorHAnsi" w:hAnsiTheme="minorHAnsi"/>
        </w:rPr>
        <w:t xml:space="preserve"> and insect attack.  </w:t>
      </w:r>
      <w:proofErr w:type="spellStart"/>
      <w:r w:rsidRPr="003C1AB2">
        <w:rPr>
          <w:rFonts w:asciiTheme="minorHAnsi" w:hAnsiTheme="minorHAnsi"/>
        </w:rPr>
        <w:t>Tomentosus</w:t>
      </w:r>
      <w:proofErr w:type="spellEnd"/>
      <w:r w:rsidRPr="003C1AB2">
        <w:rPr>
          <w:rFonts w:asciiTheme="minorHAnsi" w:hAnsiTheme="minorHAnsi"/>
        </w:rPr>
        <w:t xml:space="preserve"> spreads primarily through root contact and can survive in infected large stumps for decades.</w:t>
      </w:r>
      <w:r>
        <w:rPr>
          <w:rFonts w:asciiTheme="minorHAnsi" w:hAnsiTheme="minorHAnsi"/>
        </w:rPr>
        <w:t xml:space="preserve">  </w:t>
      </w:r>
      <w:proofErr w:type="spellStart"/>
      <w:r>
        <w:rPr>
          <w:rFonts w:asciiTheme="minorHAnsi" w:hAnsiTheme="minorHAnsi"/>
        </w:rPr>
        <w:t>T</w:t>
      </w:r>
      <w:r w:rsidRPr="004524A1">
        <w:rPr>
          <w:rFonts w:asciiTheme="minorHAnsi" w:hAnsiTheme="minorHAnsi"/>
        </w:rPr>
        <w:t>omentosus</w:t>
      </w:r>
      <w:proofErr w:type="spellEnd"/>
      <w:r w:rsidRPr="004524A1">
        <w:rPr>
          <w:rFonts w:asciiTheme="minorHAnsi" w:hAnsiTheme="minorHAnsi"/>
        </w:rPr>
        <w:t xml:space="preserve"> is one of the most damaging diseases of spruce in the </w:t>
      </w:r>
      <w:proofErr w:type="spellStart"/>
      <w:r w:rsidRPr="004524A1">
        <w:rPr>
          <w:rFonts w:asciiTheme="minorHAnsi" w:hAnsiTheme="minorHAnsi"/>
        </w:rPr>
        <w:t>Kispiox</w:t>
      </w:r>
      <w:proofErr w:type="spellEnd"/>
      <w:r>
        <w:rPr>
          <w:rFonts w:asciiTheme="minorHAnsi" w:hAnsiTheme="minorHAnsi"/>
        </w:rPr>
        <w:t>,</w:t>
      </w:r>
      <w:r w:rsidRPr="004524A1">
        <w:rPr>
          <w:rFonts w:asciiTheme="minorHAnsi" w:hAnsiTheme="minorHAnsi"/>
        </w:rPr>
        <w:t xml:space="preserve"> and is considered a high priority forest health factor. </w:t>
      </w:r>
      <w:proofErr w:type="spellStart"/>
      <w:r w:rsidR="008D7414" w:rsidRPr="004524A1">
        <w:rPr>
          <w:rFonts w:asciiTheme="minorHAnsi" w:hAnsiTheme="minorHAnsi"/>
        </w:rPr>
        <w:t>Tomentosus</w:t>
      </w:r>
      <w:proofErr w:type="spellEnd"/>
      <w:r w:rsidR="008D7414" w:rsidRPr="004524A1">
        <w:rPr>
          <w:rFonts w:asciiTheme="minorHAnsi" w:hAnsiTheme="minorHAnsi"/>
        </w:rPr>
        <w:t xml:space="preserve"> is a medium priority forest health factor in the Bulkley/</w:t>
      </w:r>
      <w:proofErr w:type="spellStart"/>
      <w:r w:rsidR="008D7414" w:rsidRPr="004524A1">
        <w:rPr>
          <w:rFonts w:asciiTheme="minorHAnsi" w:hAnsiTheme="minorHAnsi"/>
        </w:rPr>
        <w:t>Cassiar</w:t>
      </w:r>
      <w:proofErr w:type="spellEnd"/>
      <w:r w:rsidR="008D7414" w:rsidRPr="004524A1">
        <w:rPr>
          <w:rFonts w:asciiTheme="minorHAnsi" w:hAnsiTheme="minorHAnsi"/>
        </w:rPr>
        <w:t xml:space="preserve"> TSAs.  </w:t>
      </w:r>
    </w:p>
    <w:p w:rsidR="008D7414" w:rsidRPr="004524A1" w:rsidRDefault="008D7414" w:rsidP="008D7414">
      <w:pPr>
        <w:pStyle w:val="Default"/>
        <w:spacing w:line="240" w:lineRule="auto"/>
        <w:jc w:val="both"/>
        <w:rPr>
          <w:rFonts w:asciiTheme="minorHAnsi" w:hAnsiTheme="minorHAnsi"/>
          <w:sz w:val="23"/>
          <w:szCs w:val="23"/>
        </w:rPr>
      </w:pPr>
      <w:r w:rsidRPr="004524A1">
        <w:rPr>
          <w:rFonts w:asciiTheme="minorHAnsi" w:hAnsiTheme="minorHAnsi"/>
        </w:rPr>
        <w:t>Although the FLNRO inventory appears to account for the mature volume loss in its yield model VDYP</w:t>
      </w:r>
      <w:r>
        <w:rPr>
          <w:rFonts w:asciiTheme="minorHAnsi" w:hAnsiTheme="minorHAnsi"/>
        </w:rPr>
        <w:t xml:space="preserve"> (OAF 2)</w:t>
      </w:r>
      <w:r w:rsidRPr="004524A1">
        <w:rPr>
          <w:rFonts w:asciiTheme="minorHAnsi" w:hAnsiTheme="minorHAnsi"/>
        </w:rPr>
        <w:t xml:space="preserve">, this volume loss estimate illustrates the potential for increased stand productivity if </w:t>
      </w:r>
      <w:proofErr w:type="spellStart"/>
      <w:r w:rsidRPr="004524A1">
        <w:rPr>
          <w:rFonts w:asciiTheme="minorHAnsi" w:hAnsiTheme="minorHAnsi"/>
        </w:rPr>
        <w:t>Tomentosus</w:t>
      </w:r>
      <w:proofErr w:type="spellEnd"/>
      <w:r w:rsidRPr="004524A1">
        <w:rPr>
          <w:rFonts w:asciiTheme="minorHAnsi" w:hAnsiTheme="minorHAnsi"/>
        </w:rPr>
        <w:t xml:space="preserve"> is proactively managed.  The impact of </w:t>
      </w:r>
      <w:proofErr w:type="spellStart"/>
      <w:r w:rsidRPr="004524A1">
        <w:rPr>
          <w:rFonts w:asciiTheme="minorHAnsi" w:hAnsiTheme="minorHAnsi"/>
        </w:rPr>
        <w:t>Tomentosus</w:t>
      </w:r>
      <w:proofErr w:type="spellEnd"/>
      <w:r w:rsidRPr="004524A1">
        <w:rPr>
          <w:rFonts w:asciiTheme="minorHAnsi" w:hAnsiTheme="minorHAnsi"/>
        </w:rPr>
        <w:t xml:space="preserve"> on the productivity of second growth stands is being </w:t>
      </w:r>
      <w:r w:rsidRPr="005444ED">
        <w:rPr>
          <w:rFonts w:asciiTheme="minorHAnsi" w:hAnsiTheme="minorHAnsi"/>
        </w:rPr>
        <w:t xml:space="preserve">investigated. </w:t>
      </w:r>
      <w:r>
        <w:rPr>
          <w:rFonts w:asciiTheme="minorHAnsi" w:hAnsiTheme="minorHAnsi"/>
        </w:rPr>
        <w:t xml:space="preserve"> </w:t>
      </w:r>
      <w:r w:rsidRPr="005444ED">
        <w:rPr>
          <w:rFonts w:asciiTheme="minorHAnsi" w:hAnsiTheme="minorHAnsi"/>
        </w:rPr>
        <w:t>It is hoped</w:t>
      </w:r>
      <w:r w:rsidRPr="004524A1">
        <w:rPr>
          <w:rFonts w:asciiTheme="minorHAnsi" w:hAnsiTheme="minorHAnsi"/>
        </w:rPr>
        <w:t xml:space="preserve"> that </w:t>
      </w:r>
      <w:r w:rsidRPr="005444ED">
        <w:rPr>
          <w:rFonts w:asciiTheme="minorHAnsi" w:hAnsiTheme="minorHAnsi"/>
        </w:rPr>
        <w:t>more accurate Operational Adjustment Factors (OAFs) for root disease may be developed.</w:t>
      </w:r>
      <w:r w:rsidRPr="004524A1">
        <w:rPr>
          <w:rFonts w:asciiTheme="minorHAnsi" w:hAnsiTheme="minorHAnsi"/>
          <w:sz w:val="23"/>
          <w:szCs w:val="23"/>
        </w:rPr>
        <w:t xml:space="preserve"> </w:t>
      </w:r>
    </w:p>
    <w:p w:rsidR="00CC0593" w:rsidRDefault="00CC0593" w:rsidP="008D7414">
      <w:pPr>
        <w:pStyle w:val="Default"/>
        <w:spacing w:line="240" w:lineRule="auto"/>
        <w:contextualSpacing/>
        <w:jc w:val="both"/>
        <w:rPr>
          <w:rFonts w:ascii="Cambria" w:hAnsi="Cambria" w:cs="Cambria"/>
          <w:b/>
          <w:bCs/>
          <w:iCs/>
          <w:sz w:val="23"/>
          <w:szCs w:val="23"/>
        </w:rPr>
      </w:pPr>
    </w:p>
    <w:p w:rsidR="008D7414" w:rsidRDefault="008D7414" w:rsidP="008D7414">
      <w:pPr>
        <w:pStyle w:val="Default"/>
        <w:spacing w:line="240" w:lineRule="auto"/>
        <w:contextualSpacing/>
        <w:jc w:val="both"/>
        <w:rPr>
          <w:rFonts w:ascii="Cambria" w:hAnsi="Cambria" w:cs="Cambria"/>
          <w:b/>
          <w:bCs/>
          <w:iCs/>
          <w:sz w:val="23"/>
          <w:szCs w:val="23"/>
        </w:rPr>
      </w:pPr>
      <w:r>
        <w:rPr>
          <w:rFonts w:ascii="Cambria" w:hAnsi="Cambria" w:cs="Cambria"/>
          <w:b/>
          <w:bCs/>
          <w:iCs/>
          <w:sz w:val="23"/>
          <w:szCs w:val="23"/>
        </w:rPr>
        <w:t>Data</w:t>
      </w:r>
    </w:p>
    <w:p w:rsidR="009B2966" w:rsidRDefault="009B2966" w:rsidP="008D7414">
      <w:pPr>
        <w:pStyle w:val="ListParagraph"/>
        <w:numPr>
          <w:ilvl w:val="0"/>
          <w:numId w:val="3"/>
        </w:numPr>
        <w:jc w:val="both"/>
      </w:pPr>
      <w:r>
        <w:t>See map at the end of this section.</w:t>
      </w:r>
    </w:p>
    <w:p w:rsidR="008D7414" w:rsidRDefault="008D7414" w:rsidP="008D7414">
      <w:pPr>
        <w:pStyle w:val="ListParagraph"/>
        <w:numPr>
          <w:ilvl w:val="0"/>
          <w:numId w:val="3"/>
        </w:numPr>
        <w:jc w:val="both"/>
      </w:pPr>
      <w:r>
        <w:t xml:space="preserve">The </w:t>
      </w:r>
      <w:r w:rsidR="003C1AB2" w:rsidRPr="009B2966">
        <w:rPr>
          <w:b/>
        </w:rPr>
        <w:t>Bulkley</w:t>
      </w:r>
      <w:r w:rsidR="003C1AB2">
        <w:t xml:space="preserve"> </w:t>
      </w:r>
      <w:r w:rsidR="009B2966">
        <w:t xml:space="preserve">TSR3 </w:t>
      </w:r>
      <w:r w:rsidR="009B2966">
        <w:t>(</w:t>
      </w:r>
      <w:r w:rsidR="009B2966">
        <w:t>2011</w:t>
      </w:r>
      <w:r w:rsidR="009B2966">
        <w:t>)</w:t>
      </w:r>
      <w:r>
        <w:t xml:space="preserve"> contained an </w:t>
      </w:r>
      <w:proofErr w:type="spellStart"/>
      <w:r>
        <w:t>unsalvaged</w:t>
      </w:r>
      <w:proofErr w:type="spellEnd"/>
      <w:r>
        <w:t xml:space="preserve"> loss estimate for </w:t>
      </w:r>
      <w:proofErr w:type="spellStart"/>
      <w:r w:rsidRPr="009B2966">
        <w:t>Tomentosus</w:t>
      </w:r>
      <w:proofErr w:type="spellEnd"/>
      <w:r w:rsidR="009B2966" w:rsidRPr="009B2966">
        <w:t>,</w:t>
      </w:r>
      <w:r w:rsidR="003C1AB2">
        <w:rPr>
          <w:b/>
        </w:rPr>
        <w:t xml:space="preserve"> </w:t>
      </w:r>
      <w:r w:rsidR="003C1AB2">
        <w:t>h</w:t>
      </w:r>
      <w:r>
        <w:t xml:space="preserve">owever, </w:t>
      </w:r>
      <w:r w:rsidRPr="00816518">
        <w:t>Pests of Young</w:t>
      </w:r>
      <w:r>
        <w:t xml:space="preserve"> Stands (POYS) (e.g. hard stem rusts, leader weevils) and </w:t>
      </w:r>
      <w:proofErr w:type="spellStart"/>
      <w:r w:rsidRPr="009B2966">
        <w:t>Tomentosus</w:t>
      </w:r>
      <w:proofErr w:type="spellEnd"/>
      <w:r w:rsidRPr="009B2966">
        <w:t xml:space="preserve"> occur</w:t>
      </w:r>
      <w:r>
        <w:t xml:space="preserve"> sporadically in Bulkley plantations.  In the absence of localized loss data, losses towards maturity due to POYS, and decreased growth attributable to </w:t>
      </w:r>
      <w:proofErr w:type="spellStart"/>
      <w:r w:rsidRPr="009B2966">
        <w:t>Tomentosus</w:t>
      </w:r>
      <w:proofErr w:type="spellEnd"/>
      <w:r w:rsidRPr="009B2966">
        <w:t>, are</w:t>
      </w:r>
      <w:r>
        <w:t xml:space="preserve"> assumed to be accounted for through a 5%</w:t>
      </w:r>
      <w:r w:rsidRPr="00CE278C">
        <w:t xml:space="preserve"> </w:t>
      </w:r>
      <w:r>
        <w:t>Operational Adjustment Factor (</w:t>
      </w:r>
      <w:r w:rsidRPr="00CE278C">
        <w:t>OAF</w:t>
      </w:r>
      <w:r>
        <w:t>2)</w:t>
      </w:r>
      <w:r w:rsidRPr="00CE278C">
        <w:t xml:space="preserve"> </w:t>
      </w:r>
      <w:r>
        <w:t>applied to TIPSY yield curves.</w:t>
      </w:r>
    </w:p>
    <w:p w:rsidR="008D7414" w:rsidRPr="009B2966" w:rsidRDefault="008D7414" w:rsidP="008D7414">
      <w:pPr>
        <w:pStyle w:val="BodyText"/>
        <w:numPr>
          <w:ilvl w:val="0"/>
          <w:numId w:val="3"/>
        </w:numPr>
        <w:spacing w:before="0"/>
        <w:jc w:val="both"/>
      </w:pPr>
      <w:proofErr w:type="spellStart"/>
      <w:r w:rsidRPr="009B2966">
        <w:rPr>
          <w:b/>
        </w:rPr>
        <w:t>Kispiox</w:t>
      </w:r>
      <w:proofErr w:type="spellEnd"/>
      <w:r>
        <w:t xml:space="preserve"> Studies conducted prior to </w:t>
      </w:r>
      <w:proofErr w:type="spellStart"/>
      <w:r w:rsidR="009B2966">
        <w:t>Kispiox</w:t>
      </w:r>
      <w:proofErr w:type="spellEnd"/>
      <w:r w:rsidR="009B2966">
        <w:t xml:space="preserve"> </w:t>
      </w:r>
      <w:r>
        <w:t>TSR</w:t>
      </w:r>
      <w:r w:rsidR="009B2966">
        <w:t>2</w:t>
      </w:r>
      <w:r>
        <w:t xml:space="preserve"> estimate annual </w:t>
      </w:r>
      <w:proofErr w:type="spellStart"/>
      <w:r>
        <w:t>unsalvaged</w:t>
      </w:r>
      <w:proofErr w:type="spellEnd"/>
      <w:r>
        <w:t xml:space="preserve"> volume </w:t>
      </w:r>
      <w:proofErr w:type="gramStart"/>
      <w:r>
        <w:t>of 52,000 m</w:t>
      </w:r>
      <w:r>
        <w:rPr>
          <w:vertAlign w:val="superscript"/>
        </w:rPr>
        <w:t>3</w:t>
      </w:r>
      <w:r>
        <w:t>/</w:t>
      </w:r>
      <w:proofErr w:type="spellStart"/>
      <w:r>
        <w:t>yr</w:t>
      </w:r>
      <w:proofErr w:type="spellEnd"/>
      <w:r>
        <w:t xml:space="preserve"> due to </w:t>
      </w:r>
      <w:proofErr w:type="spellStart"/>
      <w:r w:rsidR="009B2966">
        <w:t>T</w:t>
      </w:r>
      <w:r w:rsidRPr="009B2966">
        <w:t>omentosus</w:t>
      </w:r>
      <w:proofErr w:type="spellEnd"/>
      <w:proofErr w:type="gramEnd"/>
      <w:r>
        <w:t>.  As part of TSR</w:t>
      </w:r>
      <w:r w:rsidR="009B2966">
        <w:t>2,</w:t>
      </w:r>
      <w:r>
        <w:t xml:space="preserve"> a review of VDYP demonstrates that </w:t>
      </w:r>
      <w:r>
        <w:lastRenderedPageBreak/>
        <w:t xml:space="preserve">these losses are factored into VDYP yield estimates and as such, no additional volume reductions are required.  Operational adjustment factor reductions for </w:t>
      </w:r>
      <w:proofErr w:type="spellStart"/>
      <w:r w:rsidR="009B2966">
        <w:t>T</w:t>
      </w:r>
      <w:r>
        <w:t>omentosus</w:t>
      </w:r>
      <w:proofErr w:type="spellEnd"/>
      <w:r>
        <w:t xml:space="preserve"> in managed spruce leading plantations are being refined.  These refinements may lead to increases in OAF2 reductions for managed stands which may be examined through sensitivity analysis if the updated information becomes available within the TSR schedule.</w:t>
      </w:r>
      <w:r w:rsidR="009B2966" w:rsidRPr="009B2966">
        <w:t xml:space="preserve"> </w:t>
      </w:r>
    </w:p>
    <w:p w:rsidR="008D7414" w:rsidRDefault="008D7414" w:rsidP="008D7414">
      <w:pPr>
        <w:pStyle w:val="Default"/>
        <w:spacing w:line="240" w:lineRule="auto"/>
        <w:contextualSpacing/>
        <w:jc w:val="both"/>
        <w:rPr>
          <w:rFonts w:ascii="Cambria" w:hAnsi="Cambria" w:cs="Cambria"/>
          <w:b/>
          <w:bCs/>
          <w:iCs/>
          <w:sz w:val="23"/>
          <w:szCs w:val="23"/>
        </w:rPr>
      </w:pPr>
    </w:p>
    <w:p w:rsidR="008D7414" w:rsidRDefault="008D7414" w:rsidP="008D7414">
      <w:pPr>
        <w:pStyle w:val="Default"/>
        <w:spacing w:line="240" w:lineRule="auto"/>
        <w:contextualSpacing/>
        <w:jc w:val="both"/>
        <w:rPr>
          <w:rFonts w:ascii="Cambria" w:hAnsi="Cambria" w:cs="Cambria"/>
          <w:b/>
          <w:bCs/>
          <w:iCs/>
          <w:sz w:val="23"/>
          <w:szCs w:val="23"/>
        </w:rPr>
      </w:pPr>
      <w:r>
        <w:rPr>
          <w:rFonts w:ascii="Cambria" w:hAnsi="Cambria" w:cs="Cambria"/>
          <w:b/>
          <w:bCs/>
          <w:iCs/>
          <w:sz w:val="23"/>
          <w:szCs w:val="23"/>
        </w:rPr>
        <w:t>Tactics</w:t>
      </w:r>
    </w:p>
    <w:p w:rsidR="008D7414" w:rsidRDefault="008D7414" w:rsidP="008D7414">
      <w:pPr>
        <w:pStyle w:val="Default"/>
        <w:numPr>
          <w:ilvl w:val="0"/>
          <w:numId w:val="2"/>
        </w:numPr>
        <w:spacing w:after="0" w:line="240" w:lineRule="auto"/>
        <w:ind w:left="714" w:hanging="357"/>
        <w:contextualSpacing/>
        <w:jc w:val="both"/>
      </w:pPr>
      <w:r>
        <w:t xml:space="preserve">In the Bulkley or </w:t>
      </w:r>
      <w:proofErr w:type="spellStart"/>
      <w:r>
        <w:t>Cassiar</w:t>
      </w:r>
      <w:proofErr w:type="spellEnd"/>
      <w:r>
        <w:t xml:space="preserve"> TSAs follow the strategies and tactics for </w:t>
      </w:r>
      <w:proofErr w:type="spellStart"/>
      <w:r>
        <w:t>Tomentosus</w:t>
      </w:r>
      <w:proofErr w:type="spellEnd"/>
      <w:r>
        <w:t xml:space="preserve"> root disease management outlined in the </w:t>
      </w:r>
      <w:r w:rsidRPr="009B2966">
        <w:rPr>
          <w:b/>
          <w:i/>
        </w:rPr>
        <w:t>FPC Root Disease Management Guidebook</w:t>
      </w:r>
      <w:r>
        <w:t xml:space="preserve"> or consult Regional MFLNRO experts.  </w:t>
      </w:r>
    </w:p>
    <w:p w:rsidR="008D7414" w:rsidRDefault="008D7414" w:rsidP="008D7414">
      <w:pPr>
        <w:pStyle w:val="Default"/>
        <w:numPr>
          <w:ilvl w:val="0"/>
          <w:numId w:val="2"/>
        </w:numPr>
        <w:spacing w:after="0" w:line="240" w:lineRule="auto"/>
        <w:ind w:left="714" w:hanging="357"/>
        <w:contextualSpacing/>
        <w:jc w:val="both"/>
      </w:pPr>
      <w:r>
        <w:t xml:space="preserve">For the </w:t>
      </w:r>
      <w:proofErr w:type="spellStart"/>
      <w:r>
        <w:t>Kispiox</w:t>
      </w:r>
      <w:proofErr w:type="spellEnd"/>
      <w:r>
        <w:t xml:space="preserve"> TSA</w:t>
      </w:r>
      <w:r w:rsidRPr="00205F1B">
        <w:t xml:space="preserve">, </w:t>
      </w:r>
      <w:r>
        <w:t xml:space="preserve">follow the </w:t>
      </w:r>
      <w:proofErr w:type="spellStart"/>
      <w:r w:rsidRPr="009B2966">
        <w:rPr>
          <w:b/>
          <w:i/>
        </w:rPr>
        <w:t>Tomentosus</w:t>
      </w:r>
      <w:proofErr w:type="spellEnd"/>
      <w:r w:rsidRPr="009B2966">
        <w:rPr>
          <w:b/>
          <w:i/>
        </w:rPr>
        <w:t xml:space="preserve"> Root Disease Management in the </w:t>
      </w:r>
      <w:proofErr w:type="spellStart"/>
      <w:r w:rsidRPr="009B2966">
        <w:rPr>
          <w:b/>
          <w:i/>
        </w:rPr>
        <w:t>Kispiox</w:t>
      </w:r>
      <w:proofErr w:type="spellEnd"/>
      <w:r w:rsidRPr="004B5A1D">
        <w:rPr>
          <w:i/>
        </w:rPr>
        <w:t xml:space="preserve"> </w:t>
      </w:r>
      <w:r>
        <w:t xml:space="preserve">document attached in </w:t>
      </w:r>
      <w:r w:rsidRPr="004B5A1D">
        <w:rPr>
          <w:highlight w:val="yellow"/>
        </w:rPr>
        <w:t>Appendix X.</w:t>
      </w:r>
      <w:r>
        <w:t xml:space="preserve">  This document outlines the extreme risk of planting spruce </w:t>
      </w:r>
      <w:r w:rsidRPr="004B5A1D">
        <w:t xml:space="preserve">in the </w:t>
      </w:r>
      <w:proofErr w:type="spellStart"/>
      <w:r w:rsidRPr="004B5A1D">
        <w:t>Kispiox</w:t>
      </w:r>
      <w:proofErr w:type="spellEnd"/>
      <w:r w:rsidRPr="004B5A1D">
        <w:t xml:space="preserve"> if the </w:t>
      </w:r>
      <w:proofErr w:type="spellStart"/>
      <w:r w:rsidRPr="004B5A1D">
        <w:t>Tomentosus</w:t>
      </w:r>
      <w:proofErr w:type="spellEnd"/>
      <w:r w:rsidRPr="004B5A1D">
        <w:t xml:space="preserve"> </w:t>
      </w:r>
      <w:proofErr w:type="spellStart"/>
      <w:r w:rsidRPr="004B5A1D">
        <w:t>centres</w:t>
      </w:r>
      <w:proofErr w:type="spellEnd"/>
      <w:r w:rsidRPr="004B5A1D">
        <w:t xml:space="preserve"> are not pre-identified.</w:t>
      </w:r>
    </w:p>
    <w:p w:rsidR="008D7414" w:rsidRPr="003D0C38" w:rsidRDefault="008D7414" w:rsidP="009B2966">
      <w:pPr>
        <w:autoSpaceDE w:val="0"/>
        <w:autoSpaceDN w:val="0"/>
        <w:adjustRightInd w:val="0"/>
        <w:ind w:left="714"/>
        <w:rPr>
          <w:rStyle w:val="Hyperlink"/>
        </w:rPr>
      </w:pPr>
      <w:r w:rsidRPr="009B2966">
        <w:rPr>
          <w:b/>
          <w:i/>
        </w:rPr>
        <w:t>FPC Root Disease Management Guidebook</w:t>
      </w:r>
      <w:r w:rsidRPr="003D0C38">
        <w:t xml:space="preserve"> </w:t>
      </w:r>
      <w:hyperlink r:id="rId7" w:history="1">
        <w:r w:rsidRPr="00B000BD">
          <w:rPr>
            <w:rStyle w:val="Hyperlink"/>
            <w:rFonts w:ascii="Calibri" w:hAnsi="Calibri" w:cs="Calibri"/>
            <w:sz w:val="22"/>
            <w:szCs w:val="22"/>
            <w:lang w:eastAsia="en-CA"/>
          </w:rPr>
          <w:t>http://www.for.gov.bc.ca/tas</w:t>
        </w:r>
        <w:r w:rsidRPr="00B000BD">
          <w:rPr>
            <w:rStyle w:val="Hyperlink"/>
            <w:rFonts w:ascii="Calibri" w:hAnsi="Calibri" w:cs="Calibri"/>
            <w:sz w:val="22"/>
            <w:szCs w:val="22"/>
            <w:lang w:eastAsia="en-CA"/>
          </w:rPr>
          <w:t>b</w:t>
        </w:r>
        <w:r w:rsidRPr="00B000BD">
          <w:rPr>
            <w:rStyle w:val="Hyperlink"/>
            <w:rFonts w:ascii="Calibri" w:hAnsi="Calibri" w:cs="Calibri"/>
            <w:sz w:val="22"/>
            <w:szCs w:val="22"/>
            <w:lang w:eastAsia="en-CA"/>
          </w:rPr>
          <w:t>/legsregs/fpc/fpcguide/root/roottoc.htm</w:t>
        </w:r>
      </w:hyperlink>
    </w:p>
    <w:p w:rsidR="008D7414" w:rsidRDefault="008D7414" w:rsidP="008D7414">
      <w:pPr>
        <w:pStyle w:val="Default"/>
        <w:spacing w:after="0" w:line="240" w:lineRule="auto"/>
        <w:contextualSpacing/>
        <w:jc w:val="both"/>
        <w:rPr>
          <w:rFonts w:ascii="Cambria" w:hAnsi="Cambria" w:cs="Cambria"/>
          <w:b/>
          <w:bCs/>
          <w:iCs/>
          <w:sz w:val="23"/>
          <w:szCs w:val="23"/>
        </w:rPr>
      </w:pPr>
    </w:p>
    <w:p w:rsidR="003C1AB2" w:rsidRDefault="003C1AB2">
      <w:pPr>
        <w:spacing w:after="200" w:line="276" w:lineRule="auto"/>
        <w:rPr>
          <w:rFonts w:ascii="Cambria" w:hAnsi="Cambria" w:cs="Cambria"/>
          <w:b/>
          <w:bCs/>
          <w:iCs/>
          <w:color w:val="000000"/>
          <w:sz w:val="23"/>
          <w:szCs w:val="23"/>
        </w:rPr>
      </w:pPr>
      <w:r>
        <w:rPr>
          <w:rFonts w:ascii="Cambria" w:hAnsi="Cambria" w:cs="Cambria"/>
          <w:b/>
          <w:bCs/>
          <w:iCs/>
          <w:sz w:val="23"/>
          <w:szCs w:val="23"/>
        </w:rPr>
        <w:br w:type="page"/>
      </w:r>
    </w:p>
    <w:p w:rsidR="00202D3A" w:rsidRDefault="003C1AB2" w:rsidP="003C1AB2">
      <w:pPr>
        <w:autoSpaceDE w:val="0"/>
        <w:autoSpaceDN w:val="0"/>
        <w:adjustRightInd w:val="0"/>
      </w:pPr>
      <w:r>
        <w:rPr>
          <w:rFonts w:ascii="Cambria" w:hAnsi="Cambria" w:cs="Cambria"/>
          <w:b/>
          <w:bCs/>
          <w:iCs/>
          <w:noProof/>
          <w:sz w:val="23"/>
          <w:szCs w:val="23"/>
          <w:lang w:val="en-CA" w:eastAsia="en-CA" w:bidi="ar-SA"/>
        </w:rPr>
        <w:lastRenderedPageBreak/>
        <w:drawing>
          <wp:inline distT="0" distB="0" distL="0" distR="0" wp14:anchorId="6CB35CB1" wp14:editId="37F7DA74">
            <wp:extent cx="5278729" cy="8158038"/>
            <wp:effectExtent l="0" t="0" r="0" b="0"/>
            <wp:docPr id="2" name="Picture 2" descr="G:\!Workgrp\Stewardship\Operations\Forest Health\DSS Forest Health\2014-2015\2015 Forest Health Strategy\4_Forest Health Agents_Descr-etc\8 Tomentosus\Map9_Tomentosus_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Workgrp\Stewardship\Operations\Forest Health\DSS Forest Health\2014-2015\2015 Forest Health Strategy\4_Forest Health Agents_Descr-etc\8 Tomentosus\Map9_Tomentosus_IN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90626" cy="8176424"/>
                    </a:xfrm>
                    <a:prstGeom prst="rect">
                      <a:avLst/>
                    </a:prstGeom>
                    <a:noFill/>
                    <a:ln>
                      <a:noFill/>
                    </a:ln>
                  </pic:spPr>
                </pic:pic>
              </a:graphicData>
            </a:graphic>
          </wp:inline>
        </w:drawing>
      </w:r>
    </w:p>
    <w:sectPr w:rsidR="00202D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1A4"/>
    <w:multiLevelType w:val="hybridMultilevel"/>
    <w:tmpl w:val="E7C060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5D6C4544"/>
    <w:multiLevelType w:val="hybridMultilevel"/>
    <w:tmpl w:val="E4204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8B6"/>
    <w:rsid w:val="00202D3A"/>
    <w:rsid w:val="00222B82"/>
    <w:rsid w:val="003C1AB2"/>
    <w:rsid w:val="005958B6"/>
    <w:rsid w:val="008D7414"/>
    <w:rsid w:val="008E6C6A"/>
    <w:rsid w:val="009B2966"/>
    <w:rsid w:val="00CC05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8B6"/>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5958B6"/>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5958B6"/>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5958B6"/>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5958B6"/>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5958B6"/>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5958B6"/>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5958B6"/>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5958B6"/>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5958B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8B6"/>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5958B6"/>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5958B6"/>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5958B6"/>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5958B6"/>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5958B6"/>
    <w:rPr>
      <w:rFonts w:eastAsiaTheme="minorEastAsia" w:cstheme="majorBidi"/>
      <w:b/>
      <w:bCs/>
      <w:lang w:val="en-US" w:bidi="en-US"/>
    </w:rPr>
  </w:style>
  <w:style w:type="character" w:customStyle="1" w:styleId="Heading7Char">
    <w:name w:val="Heading 7 Char"/>
    <w:basedOn w:val="DefaultParagraphFont"/>
    <w:link w:val="Heading7"/>
    <w:uiPriority w:val="9"/>
    <w:rsid w:val="005958B6"/>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5958B6"/>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5958B6"/>
    <w:rPr>
      <w:rFonts w:asciiTheme="majorHAnsi" w:eastAsiaTheme="majorEastAsia" w:hAnsiTheme="majorHAnsi" w:cstheme="majorBidi"/>
      <w:lang w:val="en-US" w:bidi="en-US"/>
    </w:rPr>
  </w:style>
  <w:style w:type="paragraph" w:styleId="BodyText">
    <w:name w:val="Body Text"/>
    <w:basedOn w:val="Normal"/>
    <w:link w:val="BodyTextChar"/>
    <w:rsid w:val="005958B6"/>
    <w:pPr>
      <w:spacing w:before="240" w:after="120"/>
    </w:pPr>
  </w:style>
  <w:style w:type="character" w:customStyle="1" w:styleId="BodyTextChar">
    <w:name w:val="Body Text Char"/>
    <w:basedOn w:val="DefaultParagraphFont"/>
    <w:link w:val="BodyText"/>
    <w:rsid w:val="005958B6"/>
    <w:rPr>
      <w:rFonts w:eastAsiaTheme="minorEastAsia" w:cs="Times New Roman"/>
      <w:sz w:val="24"/>
      <w:szCs w:val="24"/>
      <w:lang w:val="en-US" w:bidi="en-US"/>
    </w:rPr>
  </w:style>
  <w:style w:type="character" w:styleId="Hyperlink">
    <w:name w:val="Hyperlink"/>
    <w:basedOn w:val="DefaultParagraphFont"/>
    <w:uiPriority w:val="99"/>
    <w:rsid w:val="005958B6"/>
    <w:rPr>
      <w:color w:val="0000FF"/>
      <w:u w:val="single"/>
    </w:rPr>
  </w:style>
  <w:style w:type="paragraph" w:customStyle="1" w:styleId="Default">
    <w:name w:val="Default"/>
    <w:rsid w:val="005958B6"/>
    <w:pPr>
      <w:autoSpaceDE w:val="0"/>
      <w:autoSpaceDN w:val="0"/>
      <w:adjustRightInd w:val="0"/>
    </w:pPr>
    <w:rPr>
      <w:rFonts w:ascii="Calibri" w:eastAsiaTheme="minorEastAsia" w:hAnsi="Calibri" w:cs="Calibri"/>
      <w:color w:val="000000"/>
      <w:sz w:val="24"/>
      <w:szCs w:val="24"/>
      <w:lang w:val="en-US" w:bidi="en-US"/>
    </w:rPr>
  </w:style>
  <w:style w:type="paragraph" w:styleId="ListParagraph">
    <w:name w:val="List Paragraph"/>
    <w:basedOn w:val="Normal"/>
    <w:uiPriority w:val="34"/>
    <w:qFormat/>
    <w:rsid w:val="005958B6"/>
    <w:pPr>
      <w:ind w:left="720"/>
      <w:contextualSpacing/>
    </w:pPr>
  </w:style>
  <w:style w:type="paragraph" w:styleId="BalloonText">
    <w:name w:val="Balloon Text"/>
    <w:basedOn w:val="Normal"/>
    <w:link w:val="BalloonTextChar"/>
    <w:uiPriority w:val="99"/>
    <w:semiHidden/>
    <w:unhideWhenUsed/>
    <w:rsid w:val="008E6C6A"/>
    <w:rPr>
      <w:rFonts w:ascii="Tahoma" w:hAnsi="Tahoma" w:cs="Tahoma"/>
      <w:sz w:val="16"/>
      <w:szCs w:val="16"/>
    </w:rPr>
  </w:style>
  <w:style w:type="character" w:customStyle="1" w:styleId="BalloonTextChar">
    <w:name w:val="Balloon Text Char"/>
    <w:basedOn w:val="DefaultParagraphFont"/>
    <w:link w:val="BalloonText"/>
    <w:uiPriority w:val="99"/>
    <w:semiHidden/>
    <w:rsid w:val="008E6C6A"/>
    <w:rPr>
      <w:rFonts w:ascii="Tahoma" w:eastAsiaTheme="minorEastAsia" w:hAnsi="Tahoma" w:cs="Tahoma"/>
      <w:sz w:val="16"/>
      <w:szCs w:val="16"/>
      <w:lang w:val="en-US" w:bidi="en-US"/>
    </w:rPr>
  </w:style>
  <w:style w:type="character" w:styleId="FollowedHyperlink">
    <w:name w:val="FollowedHyperlink"/>
    <w:basedOn w:val="DefaultParagraphFont"/>
    <w:uiPriority w:val="99"/>
    <w:semiHidden/>
    <w:unhideWhenUsed/>
    <w:rsid w:val="009B296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8B6"/>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5958B6"/>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5958B6"/>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5958B6"/>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5958B6"/>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5958B6"/>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5958B6"/>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5958B6"/>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5958B6"/>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5958B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8B6"/>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5958B6"/>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5958B6"/>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5958B6"/>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5958B6"/>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5958B6"/>
    <w:rPr>
      <w:rFonts w:eastAsiaTheme="minorEastAsia" w:cstheme="majorBidi"/>
      <w:b/>
      <w:bCs/>
      <w:lang w:val="en-US" w:bidi="en-US"/>
    </w:rPr>
  </w:style>
  <w:style w:type="character" w:customStyle="1" w:styleId="Heading7Char">
    <w:name w:val="Heading 7 Char"/>
    <w:basedOn w:val="DefaultParagraphFont"/>
    <w:link w:val="Heading7"/>
    <w:uiPriority w:val="9"/>
    <w:rsid w:val="005958B6"/>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5958B6"/>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5958B6"/>
    <w:rPr>
      <w:rFonts w:asciiTheme="majorHAnsi" w:eastAsiaTheme="majorEastAsia" w:hAnsiTheme="majorHAnsi" w:cstheme="majorBidi"/>
      <w:lang w:val="en-US" w:bidi="en-US"/>
    </w:rPr>
  </w:style>
  <w:style w:type="paragraph" w:styleId="BodyText">
    <w:name w:val="Body Text"/>
    <w:basedOn w:val="Normal"/>
    <w:link w:val="BodyTextChar"/>
    <w:rsid w:val="005958B6"/>
    <w:pPr>
      <w:spacing w:before="240" w:after="120"/>
    </w:pPr>
  </w:style>
  <w:style w:type="character" w:customStyle="1" w:styleId="BodyTextChar">
    <w:name w:val="Body Text Char"/>
    <w:basedOn w:val="DefaultParagraphFont"/>
    <w:link w:val="BodyText"/>
    <w:rsid w:val="005958B6"/>
    <w:rPr>
      <w:rFonts w:eastAsiaTheme="minorEastAsia" w:cs="Times New Roman"/>
      <w:sz w:val="24"/>
      <w:szCs w:val="24"/>
      <w:lang w:val="en-US" w:bidi="en-US"/>
    </w:rPr>
  </w:style>
  <w:style w:type="character" w:styleId="Hyperlink">
    <w:name w:val="Hyperlink"/>
    <w:basedOn w:val="DefaultParagraphFont"/>
    <w:uiPriority w:val="99"/>
    <w:rsid w:val="005958B6"/>
    <w:rPr>
      <w:color w:val="0000FF"/>
      <w:u w:val="single"/>
    </w:rPr>
  </w:style>
  <w:style w:type="paragraph" w:customStyle="1" w:styleId="Default">
    <w:name w:val="Default"/>
    <w:rsid w:val="005958B6"/>
    <w:pPr>
      <w:autoSpaceDE w:val="0"/>
      <w:autoSpaceDN w:val="0"/>
      <w:adjustRightInd w:val="0"/>
    </w:pPr>
    <w:rPr>
      <w:rFonts w:ascii="Calibri" w:eastAsiaTheme="minorEastAsia" w:hAnsi="Calibri" w:cs="Calibri"/>
      <w:color w:val="000000"/>
      <w:sz w:val="24"/>
      <w:szCs w:val="24"/>
      <w:lang w:val="en-US" w:bidi="en-US"/>
    </w:rPr>
  </w:style>
  <w:style w:type="paragraph" w:styleId="ListParagraph">
    <w:name w:val="List Paragraph"/>
    <w:basedOn w:val="Normal"/>
    <w:uiPriority w:val="34"/>
    <w:qFormat/>
    <w:rsid w:val="005958B6"/>
    <w:pPr>
      <w:ind w:left="720"/>
      <w:contextualSpacing/>
    </w:pPr>
  </w:style>
  <w:style w:type="paragraph" w:styleId="BalloonText">
    <w:name w:val="Balloon Text"/>
    <w:basedOn w:val="Normal"/>
    <w:link w:val="BalloonTextChar"/>
    <w:uiPriority w:val="99"/>
    <w:semiHidden/>
    <w:unhideWhenUsed/>
    <w:rsid w:val="008E6C6A"/>
    <w:rPr>
      <w:rFonts w:ascii="Tahoma" w:hAnsi="Tahoma" w:cs="Tahoma"/>
      <w:sz w:val="16"/>
      <w:szCs w:val="16"/>
    </w:rPr>
  </w:style>
  <w:style w:type="character" w:customStyle="1" w:styleId="BalloonTextChar">
    <w:name w:val="Balloon Text Char"/>
    <w:basedOn w:val="DefaultParagraphFont"/>
    <w:link w:val="BalloonText"/>
    <w:uiPriority w:val="99"/>
    <w:semiHidden/>
    <w:rsid w:val="008E6C6A"/>
    <w:rPr>
      <w:rFonts w:ascii="Tahoma" w:eastAsiaTheme="minorEastAsia" w:hAnsi="Tahoma" w:cs="Tahoma"/>
      <w:sz w:val="16"/>
      <w:szCs w:val="16"/>
      <w:lang w:val="en-US" w:bidi="en-US"/>
    </w:rPr>
  </w:style>
  <w:style w:type="character" w:styleId="FollowedHyperlink">
    <w:name w:val="FollowedHyperlink"/>
    <w:basedOn w:val="DefaultParagraphFont"/>
    <w:uiPriority w:val="99"/>
    <w:semiHidden/>
    <w:unhideWhenUsed/>
    <w:rsid w:val="009B29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www.for.gov.bc.ca/tasb/legsregs/fpc/fpcguide/root/roottoc.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6</cp:revision>
  <dcterms:created xsi:type="dcterms:W3CDTF">2015-04-22T20:34:00Z</dcterms:created>
  <dcterms:modified xsi:type="dcterms:W3CDTF">2015-04-30T16:10:00Z</dcterms:modified>
</cp:coreProperties>
</file>